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w:t>
      </w:r>
      <w:r w:rsidR="00762520">
        <w:rPr>
          <w:rFonts w:ascii="Arial" w:hAnsi="Arial" w:cs="Arial"/>
          <w:b/>
          <w:sz w:val="24"/>
          <w:szCs w:val="24"/>
        </w:rPr>
        <w:t>9</w:t>
      </w:r>
      <w:r w:rsidR="00E5535C">
        <w:rPr>
          <w:rFonts w:ascii="Arial" w:hAnsi="Arial" w:cs="Arial"/>
          <w:b/>
          <w:sz w:val="24"/>
          <w:szCs w:val="24"/>
        </w:rPr>
        <w:t>5</w:t>
      </w:r>
      <w:r w:rsidRPr="00B808F4">
        <w:rPr>
          <w:rFonts w:ascii="Arial" w:hAnsi="Arial" w:cs="Arial"/>
          <w:b/>
          <w:sz w:val="24"/>
          <w:szCs w:val="24"/>
        </w:rPr>
        <w:t xml:space="preserve">:  </w:t>
      </w:r>
      <w:r w:rsidR="00762520">
        <w:rPr>
          <w:rFonts w:ascii="Arial" w:hAnsi="Arial" w:cs="Arial"/>
          <w:b/>
          <w:sz w:val="24"/>
          <w:szCs w:val="24"/>
        </w:rPr>
        <w:t xml:space="preserve">RESEARCH </w:t>
      </w:r>
      <w:r w:rsidR="00E5535C">
        <w:rPr>
          <w:rFonts w:ascii="Arial" w:hAnsi="Arial" w:cs="Arial"/>
          <w:b/>
          <w:sz w:val="24"/>
          <w:szCs w:val="24"/>
        </w:rPr>
        <w:t xml:space="preserve">LITERATURE AND </w:t>
      </w:r>
      <w:r w:rsidR="009C07D2">
        <w:rPr>
          <w:rFonts w:ascii="Arial" w:hAnsi="Arial" w:cs="Arial"/>
          <w:b/>
          <w:sz w:val="24"/>
          <w:szCs w:val="24"/>
        </w:rPr>
        <w:t>TECHNIQUES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762520" w:rsidRDefault="00E5535C" w:rsidP="009228C9">
      <w:pPr>
        <w:rPr>
          <w:rFonts w:ascii="Arial" w:hAnsi="Arial" w:cs="Arial"/>
          <w:sz w:val="24"/>
          <w:szCs w:val="24"/>
        </w:rPr>
      </w:pPr>
      <w:r>
        <w:rPr>
          <w:rFonts w:ascii="Arial" w:hAnsi="Arial" w:cs="Arial"/>
          <w:sz w:val="24"/>
          <w:szCs w:val="24"/>
        </w:rPr>
        <w:t>This course integrates research design, instrument selection and development and techniques of data collection and analysis for application in a field setting.  Development of a research project based on a practicum assignment is required; to a specific intervention or evaluation undertaken in the concurrent field practicum placement.  Critical thinking skills, self-assessment and practice</w:t>
      </w:r>
      <w:r w:rsidR="00AB2A6C">
        <w:rPr>
          <w:rFonts w:ascii="Arial" w:hAnsi="Arial" w:cs="Arial"/>
          <w:sz w:val="24"/>
          <w:szCs w:val="24"/>
        </w:rPr>
        <w:t xml:space="preserve"> evaluation requirements are developed and demonstrated in a major paper.  Prerequisite: Completion of SWK 590.</w:t>
      </w:r>
    </w:p>
    <w:p w:rsidR="000D6831" w:rsidRDefault="000D6831" w:rsidP="009228C9">
      <w:pPr>
        <w:rPr>
          <w:rFonts w:ascii="Arial" w:hAnsi="Arial" w:cs="Arial"/>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AB2A6C" w:rsidRDefault="00AB2A6C" w:rsidP="0053314B">
      <w:pPr>
        <w:rPr>
          <w:rFonts w:ascii="Arial" w:hAnsi="Arial" w:cs="Arial"/>
          <w:sz w:val="24"/>
          <w:szCs w:val="24"/>
        </w:rPr>
      </w:pPr>
      <w:r>
        <w:rPr>
          <w:rFonts w:ascii="Arial" w:hAnsi="Arial" w:cs="Arial"/>
          <w:sz w:val="24"/>
          <w:szCs w:val="24"/>
        </w:rPr>
        <w:t>This course integrates research design, instrument selection and development and techniques of data collection and analysis for application in a field setting.  Development of a research project based on a practicum assignment is required.  Prerequisite and/or Co-Requisite: Completion of all MSW classes and completion of SWK 590.  The student is expected to conduct an empirical assessment related to their concurrent field placement, i.e., client system, intervention, program evaluation or needs assessment.</w:t>
      </w:r>
    </w:p>
    <w:p w:rsidR="00AB2A6C" w:rsidRPr="00643308" w:rsidRDefault="00AB2A6C" w:rsidP="00AB2A6C">
      <w:pPr>
        <w:pStyle w:val="ListParagraph"/>
        <w:numPr>
          <w:ilvl w:val="0"/>
          <w:numId w:val="6"/>
        </w:numPr>
        <w:rPr>
          <w:rFonts w:ascii="Arial" w:eastAsiaTheme="minorEastAsia" w:hAnsi="Arial" w:cs="Arial"/>
          <w:b/>
          <w:sz w:val="22"/>
          <w:szCs w:val="24"/>
        </w:rPr>
      </w:pPr>
      <w:r w:rsidRPr="00AB2A6C">
        <w:rPr>
          <w:rFonts w:ascii="Arial" w:hAnsi="Arial" w:cs="Arial"/>
          <w:szCs w:val="24"/>
        </w:rPr>
        <w:t>Stud</w:t>
      </w:r>
      <w:r>
        <w:rPr>
          <w:rFonts w:ascii="Arial" w:hAnsi="Arial" w:cs="Arial"/>
          <w:szCs w:val="24"/>
        </w:rPr>
        <w:t xml:space="preserve">ents will demonstrate the ability to apply he problem solving process to generalist practice intervention with client systems at all levels, </w:t>
      </w:r>
      <w:r w:rsidR="00643308">
        <w:rPr>
          <w:rFonts w:ascii="Arial" w:hAnsi="Arial" w:cs="Arial"/>
          <w:szCs w:val="24"/>
        </w:rPr>
        <w:t>considering</w:t>
      </w:r>
      <w:r>
        <w:rPr>
          <w:rFonts w:ascii="Arial" w:hAnsi="Arial" w:cs="Arial"/>
          <w:szCs w:val="24"/>
        </w:rPr>
        <w:t xml:space="preserve"> the rural or urban practice context.</w:t>
      </w:r>
    </w:p>
    <w:p w:rsidR="00643308" w:rsidRPr="00AB2A6C" w:rsidRDefault="00643308" w:rsidP="00643308">
      <w:pPr>
        <w:pStyle w:val="ListParagraph"/>
        <w:rPr>
          <w:rFonts w:ascii="Arial" w:eastAsiaTheme="minorEastAsia" w:hAnsi="Arial" w:cs="Arial"/>
          <w:b/>
          <w:sz w:val="22"/>
          <w:szCs w:val="24"/>
        </w:rPr>
      </w:pPr>
    </w:p>
    <w:p w:rsidR="00643308" w:rsidRPr="00851A28" w:rsidRDefault="00AB2A6C" w:rsidP="00851A28">
      <w:pPr>
        <w:pStyle w:val="ListParagraph"/>
        <w:numPr>
          <w:ilvl w:val="0"/>
          <w:numId w:val="6"/>
        </w:numPr>
        <w:rPr>
          <w:rFonts w:ascii="Arial" w:eastAsiaTheme="minorEastAsia" w:hAnsi="Arial" w:cs="Arial"/>
          <w:b/>
          <w:sz w:val="22"/>
          <w:szCs w:val="24"/>
        </w:rPr>
      </w:pPr>
      <w:r>
        <w:rPr>
          <w:rFonts w:ascii="Arial" w:hAnsi="Arial" w:cs="Arial"/>
          <w:szCs w:val="24"/>
        </w:rPr>
        <w:t xml:space="preserve">Students will demonstrate an understanding of the importance of evidence-based knowledge and methods in designing interventions that </w:t>
      </w:r>
      <w:r w:rsidR="00643308">
        <w:rPr>
          <w:rFonts w:ascii="Arial" w:hAnsi="Arial" w:cs="Arial"/>
          <w:szCs w:val="24"/>
        </w:rPr>
        <w:t>consider</w:t>
      </w:r>
      <w:r>
        <w:rPr>
          <w:rFonts w:ascii="Arial" w:hAnsi="Arial" w:cs="Arial"/>
          <w:szCs w:val="24"/>
        </w:rPr>
        <w:t xml:space="preserve"> the rural or urban context.</w:t>
      </w:r>
    </w:p>
    <w:p w:rsidR="00851A28" w:rsidRPr="00851A28" w:rsidRDefault="00851A28" w:rsidP="00851A28">
      <w:pPr>
        <w:pStyle w:val="ListParagraph"/>
        <w:rPr>
          <w:rFonts w:ascii="Arial" w:eastAsiaTheme="minorEastAsia" w:hAnsi="Arial" w:cs="Arial"/>
          <w:b/>
          <w:sz w:val="22"/>
          <w:szCs w:val="24"/>
        </w:rPr>
      </w:pPr>
    </w:p>
    <w:p w:rsidR="00851A28" w:rsidRPr="00851A28" w:rsidRDefault="00851A28" w:rsidP="00851A28">
      <w:pPr>
        <w:pStyle w:val="ListParagraph"/>
        <w:rPr>
          <w:rFonts w:ascii="Arial" w:eastAsiaTheme="minorEastAsia" w:hAnsi="Arial" w:cs="Arial"/>
          <w:b/>
          <w:sz w:val="22"/>
          <w:szCs w:val="24"/>
        </w:rPr>
      </w:pPr>
    </w:p>
    <w:p w:rsidR="00AB2A6C" w:rsidRPr="00AB2A6C" w:rsidRDefault="00AB2A6C" w:rsidP="00AB2A6C">
      <w:pPr>
        <w:pStyle w:val="ListParagraph"/>
        <w:numPr>
          <w:ilvl w:val="0"/>
          <w:numId w:val="6"/>
        </w:numPr>
        <w:rPr>
          <w:rFonts w:ascii="Arial" w:eastAsiaTheme="minorEastAsia" w:hAnsi="Arial" w:cs="Arial"/>
          <w:b/>
          <w:sz w:val="22"/>
          <w:szCs w:val="24"/>
        </w:rPr>
      </w:pPr>
      <w:r>
        <w:rPr>
          <w:rFonts w:ascii="Arial" w:hAnsi="Arial" w:cs="Arial"/>
          <w:szCs w:val="24"/>
        </w:rPr>
        <w:t xml:space="preserve">Students will demonstrate an understanding of social work values and ethics in professional interventions with clients and colleagues and demonstrate effectiveness in </w:t>
      </w:r>
      <w:r w:rsidR="00643308">
        <w:rPr>
          <w:rFonts w:ascii="Arial" w:hAnsi="Arial" w:cs="Arial"/>
          <w:szCs w:val="24"/>
        </w:rPr>
        <w:t>considering</w:t>
      </w:r>
      <w:r>
        <w:rPr>
          <w:rFonts w:ascii="Arial" w:hAnsi="Arial" w:cs="Arial"/>
          <w:szCs w:val="24"/>
        </w:rPr>
        <w:t xml:space="preserve"> cultural difference among clients and colleagues.</w:t>
      </w:r>
    </w:p>
    <w:p w:rsidR="00AB2A6C" w:rsidRPr="00AB2A6C" w:rsidRDefault="00AB2A6C" w:rsidP="00AB2A6C">
      <w:pPr>
        <w:rPr>
          <w:rFonts w:ascii="Arial" w:hAnsi="Arial" w:cs="Arial"/>
          <w:b/>
          <w:szCs w:val="24"/>
        </w:rPr>
      </w:pPr>
    </w:p>
    <w:p w:rsidR="00877373" w:rsidRPr="00851A28" w:rsidRDefault="00877373" w:rsidP="00877373">
      <w:pPr>
        <w:rPr>
          <w:rFonts w:ascii="Arial" w:hAnsi="Arial" w:cs="Arial"/>
          <w:b/>
          <w:sz w:val="24"/>
          <w:szCs w:val="24"/>
        </w:rPr>
      </w:pPr>
      <w:r w:rsidRPr="00851A28">
        <w:rPr>
          <w:rFonts w:ascii="Arial" w:hAnsi="Arial" w:cs="Arial"/>
          <w:b/>
          <w:sz w:val="24"/>
          <w:szCs w:val="24"/>
        </w:rPr>
        <w:t>RELATIONSHIP TO OTHER COURSES:</w:t>
      </w:r>
    </w:p>
    <w:p w:rsidR="00246588" w:rsidRPr="00851A28" w:rsidRDefault="00AB2A6C" w:rsidP="00816B85">
      <w:pPr>
        <w:rPr>
          <w:rFonts w:ascii="Arial" w:hAnsi="Arial" w:cs="Arial"/>
          <w:sz w:val="24"/>
          <w:szCs w:val="24"/>
        </w:rPr>
      </w:pPr>
      <w:r w:rsidRPr="00851A28">
        <w:rPr>
          <w:rFonts w:ascii="Arial" w:hAnsi="Arial" w:cs="Arial"/>
          <w:sz w:val="24"/>
          <w:szCs w:val="24"/>
        </w:rPr>
        <w:t>This class builds upon the content gained in SWK 590</w:t>
      </w:r>
      <w:r w:rsidR="00266799" w:rsidRPr="00851A28">
        <w:rPr>
          <w:rFonts w:ascii="Arial" w:hAnsi="Arial" w:cs="Arial"/>
          <w:sz w:val="24"/>
          <w:szCs w:val="24"/>
        </w:rPr>
        <w:t>.  This prerequisite should provide the student with an approved research proposal from which to begin data collection for this class.</w:t>
      </w: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w:t>
      </w:r>
      <w:r>
        <w:rPr>
          <w:rFonts w:ascii="Arial" w:hAnsi="Arial" w:cs="Arial"/>
          <w:sz w:val="24"/>
          <w:szCs w:val="24"/>
        </w:rPr>
        <w:lastRenderedPageBreak/>
        <w:t xml:space="preserve">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7414E1" w:rsidRPr="00D26678" w:rsidRDefault="007414E1" w:rsidP="007414E1">
      <w:pPr>
        <w:rPr>
          <w:rFonts w:ascii="Arial" w:hAnsi="Arial" w:cs="Arial"/>
          <w:sz w:val="24"/>
          <w:szCs w:val="24"/>
        </w:rPr>
      </w:pPr>
      <w:r w:rsidRPr="00D26678">
        <w:rPr>
          <w:rFonts w:ascii="Arial" w:hAnsi="Arial" w:cs="Arial"/>
          <w:sz w:val="24"/>
          <w:szCs w:val="24"/>
        </w:rPr>
        <w:t>Competency AGP 2.1.1 Exemplify professional social work behavior and standards</w:t>
      </w:r>
    </w:p>
    <w:p w:rsidR="007414E1" w:rsidRDefault="007414E1" w:rsidP="007414E1">
      <w:pPr>
        <w:rPr>
          <w:rFonts w:ascii="Arial" w:hAnsi="Arial" w:cs="Arial"/>
          <w:sz w:val="24"/>
          <w:szCs w:val="24"/>
        </w:rPr>
      </w:pPr>
      <w:r w:rsidRPr="00D26678">
        <w:rPr>
          <w:rFonts w:ascii="Arial" w:hAnsi="Arial" w:cs="Arial"/>
          <w:sz w:val="24"/>
          <w:szCs w:val="24"/>
        </w:rPr>
        <w:t xml:space="preserve">Competency AGP 2.1.2 Apply social work ethical principles to resolve dilemmas and </w:t>
      </w:r>
    </w:p>
    <w:p w:rsidR="007414E1" w:rsidRPr="00D26678" w:rsidRDefault="007414E1" w:rsidP="007414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create</w:t>
      </w:r>
      <w:proofErr w:type="gramEnd"/>
      <w:r w:rsidRPr="00D26678">
        <w:rPr>
          <w:rFonts w:ascii="Arial" w:hAnsi="Arial" w:cs="Arial"/>
          <w:sz w:val="24"/>
          <w:szCs w:val="24"/>
        </w:rPr>
        <w:t xml:space="preserve"> positive   change</w:t>
      </w:r>
    </w:p>
    <w:p w:rsidR="007414E1" w:rsidRDefault="007414E1" w:rsidP="007414E1">
      <w:pPr>
        <w:rPr>
          <w:rFonts w:ascii="Arial" w:hAnsi="Arial" w:cs="Arial"/>
          <w:sz w:val="24"/>
          <w:szCs w:val="24"/>
        </w:rPr>
      </w:pPr>
      <w:r w:rsidRPr="00D26678">
        <w:rPr>
          <w:rFonts w:ascii="Arial" w:hAnsi="Arial" w:cs="Arial"/>
          <w:sz w:val="24"/>
          <w:szCs w:val="24"/>
        </w:rPr>
        <w:t xml:space="preserve">Competency AGP 2.1.3 </w:t>
      </w:r>
      <w:proofErr w:type="gramStart"/>
      <w:r w:rsidRPr="00D26678">
        <w:rPr>
          <w:rFonts w:ascii="Arial" w:hAnsi="Arial" w:cs="Arial"/>
          <w:sz w:val="24"/>
          <w:szCs w:val="24"/>
        </w:rPr>
        <w:t>Critically</w:t>
      </w:r>
      <w:proofErr w:type="gramEnd"/>
      <w:r w:rsidRPr="00D26678">
        <w:rPr>
          <w:rFonts w:ascii="Arial" w:hAnsi="Arial" w:cs="Arial"/>
          <w:sz w:val="24"/>
          <w:szCs w:val="24"/>
        </w:rPr>
        <w:t xml:space="preserve"> analyze pra</w:t>
      </w:r>
      <w:r>
        <w:rPr>
          <w:rFonts w:ascii="Arial" w:hAnsi="Arial" w:cs="Arial"/>
          <w:sz w:val="24"/>
          <w:szCs w:val="24"/>
        </w:rPr>
        <w:t xml:space="preserve">ctice solutions and </w:t>
      </w:r>
    </w:p>
    <w:p w:rsidR="007414E1" w:rsidRDefault="007414E1" w:rsidP="007414E1">
      <w:pPr>
        <w:ind w:left="2490"/>
        <w:rPr>
          <w:rFonts w:ascii="Arial" w:hAnsi="Arial" w:cs="Arial"/>
          <w:sz w:val="24"/>
          <w:szCs w:val="24"/>
        </w:rPr>
      </w:pPr>
      <w:r>
        <w:rPr>
          <w:rFonts w:ascii="Arial" w:hAnsi="Arial" w:cs="Arial"/>
          <w:sz w:val="24"/>
          <w:szCs w:val="24"/>
        </w:rPr>
        <w:t xml:space="preserve">Communicate </w:t>
      </w:r>
      <w:r w:rsidRPr="00D26678">
        <w:rPr>
          <w:rFonts w:ascii="Arial" w:hAnsi="Arial" w:cs="Arial"/>
          <w:sz w:val="24"/>
          <w:szCs w:val="24"/>
        </w:rPr>
        <w:t>judgments and reasoning through decision-</w:t>
      </w:r>
      <w:r>
        <w:rPr>
          <w:rFonts w:ascii="Arial" w:hAnsi="Arial" w:cs="Arial"/>
          <w:sz w:val="24"/>
          <w:szCs w:val="24"/>
        </w:rPr>
        <w:t xml:space="preserve"> </w:t>
      </w:r>
    </w:p>
    <w:p w:rsidR="007414E1" w:rsidRPr="00D26678" w:rsidRDefault="007414E1" w:rsidP="007414E1">
      <w:pPr>
        <w:ind w:left="2490"/>
        <w:rPr>
          <w:rFonts w:ascii="Arial" w:hAnsi="Arial" w:cs="Arial"/>
          <w:sz w:val="24"/>
          <w:szCs w:val="24"/>
        </w:rPr>
      </w:pPr>
      <w:proofErr w:type="gramStart"/>
      <w:r w:rsidRPr="00D26678">
        <w:rPr>
          <w:rFonts w:ascii="Arial" w:hAnsi="Arial" w:cs="Arial"/>
          <w:sz w:val="24"/>
          <w:szCs w:val="24"/>
        </w:rPr>
        <w:t>making</w:t>
      </w:r>
      <w:proofErr w:type="gramEnd"/>
      <w:r w:rsidRPr="00D26678">
        <w:rPr>
          <w:rFonts w:ascii="Arial" w:hAnsi="Arial" w:cs="Arial"/>
          <w:sz w:val="24"/>
          <w:szCs w:val="24"/>
        </w:rPr>
        <w:t xml:space="preserve"> processes</w:t>
      </w:r>
    </w:p>
    <w:p w:rsidR="007414E1" w:rsidRDefault="007414E1" w:rsidP="007414E1">
      <w:pPr>
        <w:rPr>
          <w:rFonts w:ascii="Arial" w:hAnsi="Arial" w:cs="Arial"/>
          <w:sz w:val="24"/>
          <w:szCs w:val="24"/>
        </w:rPr>
      </w:pPr>
      <w:proofErr w:type="gramStart"/>
      <w:r w:rsidRPr="00D26678">
        <w:rPr>
          <w:rFonts w:ascii="Arial" w:hAnsi="Arial" w:cs="Arial"/>
          <w:sz w:val="24"/>
          <w:szCs w:val="24"/>
        </w:rPr>
        <w:t>Competency  AGP</w:t>
      </w:r>
      <w:proofErr w:type="gramEnd"/>
      <w:r w:rsidRPr="00D26678">
        <w:rPr>
          <w:rFonts w:ascii="Arial" w:hAnsi="Arial" w:cs="Arial"/>
          <w:sz w:val="24"/>
          <w:szCs w:val="24"/>
        </w:rPr>
        <w:t xml:space="preserve"> 2.1.4 Demonstrate the ability to build strengths based on mutual </w:t>
      </w:r>
    </w:p>
    <w:p w:rsidR="007414E1" w:rsidRPr="00D26678" w:rsidRDefault="007414E1" w:rsidP="007414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engagement</w:t>
      </w:r>
      <w:proofErr w:type="gramEnd"/>
      <w:r w:rsidRPr="00D26678">
        <w:rPr>
          <w:rFonts w:ascii="Arial" w:hAnsi="Arial" w:cs="Arial"/>
          <w:sz w:val="24"/>
          <w:szCs w:val="24"/>
        </w:rPr>
        <w:t xml:space="preserve"> with diverse populations</w:t>
      </w:r>
    </w:p>
    <w:p w:rsidR="007414E1" w:rsidRDefault="007414E1" w:rsidP="007414E1">
      <w:pPr>
        <w:rPr>
          <w:rFonts w:ascii="Arial" w:hAnsi="Arial" w:cs="Arial"/>
          <w:sz w:val="24"/>
          <w:szCs w:val="24"/>
        </w:rPr>
      </w:pPr>
      <w:r w:rsidRPr="00D26678">
        <w:rPr>
          <w:rFonts w:ascii="Arial" w:hAnsi="Arial" w:cs="Arial"/>
          <w:sz w:val="24"/>
          <w:szCs w:val="24"/>
        </w:rPr>
        <w:t>Competency AGP 2.1.5 Demonstrate commitment to strategies that address</w:t>
      </w:r>
    </w:p>
    <w:p w:rsidR="007414E1" w:rsidRDefault="007414E1" w:rsidP="007414E1">
      <w:pPr>
        <w:ind w:left="216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discrimination</w:t>
      </w:r>
      <w:proofErr w:type="gramEnd"/>
      <w:r w:rsidRPr="00D26678">
        <w:rPr>
          <w:rFonts w:ascii="Arial" w:hAnsi="Arial" w:cs="Arial"/>
          <w:sz w:val="24"/>
          <w:szCs w:val="24"/>
        </w:rPr>
        <w:t xml:space="preserve">, reduce disparities, and promote social and </w:t>
      </w:r>
    </w:p>
    <w:p w:rsidR="007414E1" w:rsidRPr="00D26678" w:rsidRDefault="007414E1" w:rsidP="007414E1">
      <w:pPr>
        <w:ind w:left="2160"/>
        <w:rPr>
          <w:rFonts w:ascii="Arial" w:hAnsi="Arial" w:cs="Arial"/>
          <w:sz w:val="24"/>
          <w:szCs w:val="24"/>
        </w:rPr>
      </w:pPr>
      <w:r>
        <w:rPr>
          <w:rFonts w:ascii="Arial" w:hAnsi="Arial" w:cs="Arial"/>
          <w:sz w:val="24"/>
          <w:szCs w:val="24"/>
        </w:rPr>
        <w:t xml:space="preserve">    </w:t>
      </w:r>
      <w:proofErr w:type="gramStart"/>
      <w:r w:rsidRPr="00D26678">
        <w:rPr>
          <w:rFonts w:ascii="Arial" w:hAnsi="Arial" w:cs="Arial"/>
          <w:sz w:val="24"/>
          <w:szCs w:val="24"/>
        </w:rPr>
        <w:t>economic</w:t>
      </w:r>
      <w:proofErr w:type="gramEnd"/>
      <w:r w:rsidRPr="00D26678">
        <w:rPr>
          <w:rFonts w:ascii="Arial" w:hAnsi="Arial" w:cs="Arial"/>
          <w:sz w:val="24"/>
          <w:szCs w:val="24"/>
        </w:rPr>
        <w:t xml:space="preserve"> justice</w:t>
      </w:r>
    </w:p>
    <w:p w:rsidR="007414E1" w:rsidRPr="00643308" w:rsidRDefault="007414E1" w:rsidP="007414E1">
      <w:pPr>
        <w:rPr>
          <w:rFonts w:ascii="Arial" w:hAnsi="Arial" w:cs="Arial"/>
          <w:b/>
          <w:sz w:val="24"/>
          <w:szCs w:val="24"/>
        </w:rPr>
      </w:pPr>
      <w:r w:rsidRPr="00643308">
        <w:rPr>
          <w:rFonts w:ascii="Arial" w:hAnsi="Arial" w:cs="Arial"/>
          <w:b/>
          <w:sz w:val="24"/>
          <w:szCs w:val="24"/>
        </w:rPr>
        <w:t xml:space="preserve">Competency AGP 2.1.6 Contribute to evidence-based best practice approaches to </w:t>
      </w:r>
    </w:p>
    <w:p w:rsidR="007414E1" w:rsidRPr="00643308" w:rsidRDefault="007414E1" w:rsidP="007414E1">
      <w:pPr>
        <w:rPr>
          <w:rFonts w:ascii="Arial" w:hAnsi="Arial" w:cs="Arial"/>
          <w:b/>
          <w:sz w:val="24"/>
          <w:szCs w:val="24"/>
        </w:rPr>
      </w:pPr>
      <w:r w:rsidRPr="00643308">
        <w:rPr>
          <w:rFonts w:ascii="Arial" w:hAnsi="Arial" w:cs="Arial"/>
          <w:b/>
          <w:sz w:val="24"/>
          <w:szCs w:val="24"/>
        </w:rPr>
        <w:tab/>
      </w:r>
      <w:r w:rsidRPr="00643308">
        <w:rPr>
          <w:rFonts w:ascii="Arial" w:hAnsi="Arial" w:cs="Arial"/>
          <w:b/>
          <w:sz w:val="24"/>
          <w:szCs w:val="24"/>
        </w:rPr>
        <w:tab/>
      </w:r>
      <w:r w:rsidRPr="00643308">
        <w:rPr>
          <w:rFonts w:ascii="Arial" w:hAnsi="Arial" w:cs="Arial"/>
          <w:b/>
          <w:sz w:val="24"/>
          <w:szCs w:val="24"/>
        </w:rPr>
        <w:tab/>
        <w:t xml:space="preserve">       </w:t>
      </w:r>
      <w:proofErr w:type="gramStart"/>
      <w:r w:rsidRPr="00643308">
        <w:rPr>
          <w:rFonts w:ascii="Arial" w:hAnsi="Arial" w:cs="Arial"/>
          <w:b/>
          <w:sz w:val="24"/>
          <w:szCs w:val="24"/>
        </w:rPr>
        <w:t>assess</w:t>
      </w:r>
      <w:proofErr w:type="gramEnd"/>
      <w:r w:rsidRPr="00643308">
        <w:rPr>
          <w:rFonts w:ascii="Arial" w:hAnsi="Arial" w:cs="Arial"/>
          <w:b/>
          <w:sz w:val="24"/>
          <w:szCs w:val="24"/>
        </w:rPr>
        <w:t xml:space="preserve"> and improve effectiveness</w:t>
      </w:r>
    </w:p>
    <w:p w:rsidR="007414E1" w:rsidRPr="00D26678" w:rsidRDefault="007414E1" w:rsidP="007414E1">
      <w:pPr>
        <w:rPr>
          <w:rFonts w:ascii="Arial" w:hAnsi="Arial" w:cs="Arial"/>
          <w:sz w:val="24"/>
          <w:szCs w:val="24"/>
        </w:rPr>
      </w:pPr>
      <w:r w:rsidRPr="00D26678">
        <w:rPr>
          <w:rFonts w:ascii="Arial" w:hAnsi="Arial" w:cs="Arial"/>
          <w:sz w:val="24"/>
          <w:szCs w:val="24"/>
        </w:rPr>
        <w:t xml:space="preserve">Competency AGP 2.1.7 </w:t>
      </w:r>
      <w:proofErr w:type="gramStart"/>
      <w:r w:rsidRPr="00D26678">
        <w:rPr>
          <w:rFonts w:ascii="Arial" w:hAnsi="Arial" w:cs="Arial"/>
          <w:sz w:val="24"/>
          <w:szCs w:val="24"/>
        </w:rPr>
        <w:t>Differentially</w:t>
      </w:r>
      <w:proofErr w:type="gramEnd"/>
      <w:r w:rsidRPr="00D26678">
        <w:rPr>
          <w:rFonts w:ascii="Arial" w:hAnsi="Arial" w:cs="Arial"/>
          <w:sz w:val="24"/>
          <w:szCs w:val="24"/>
        </w:rPr>
        <w:t xml:space="preserve"> apply theories and frameworks of HBSE</w:t>
      </w:r>
    </w:p>
    <w:p w:rsidR="007414E1" w:rsidRPr="00D26678" w:rsidRDefault="007414E1" w:rsidP="007414E1">
      <w:pPr>
        <w:rPr>
          <w:rFonts w:ascii="Arial" w:hAnsi="Arial" w:cs="Arial"/>
          <w:sz w:val="24"/>
          <w:szCs w:val="24"/>
        </w:rPr>
      </w:pPr>
      <w:r w:rsidRPr="00D26678">
        <w:rPr>
          <w:rFonts w:ascii="Arial" w:hAnsi="Arial" w:cs="Arial"/>
          <w:sz w:val="24"/>
          <w:szCs w:val="24"/>
        </w:rPr>
        <w:t>Competency AGP 2.1.8 Promote social policies to improve service delivery systems</w:t>
      </w:r>
    </w:p>
    <w:p w:rsidR="007414E1" w:rsidRDefault="007414E1" w:rsidP="007414E1">
      <w:pPr>
        <w:rPr>
          <w:rFonts w:ascii="Arial" w:hAnsi="Arial" w:cs="Arial"/>
          <w:sz w:val="24"/>
          <w:szCs w:val="24"/>
        </w:rPr>
      </w:pPr>
      <w:r w:rsidRPr="00D26678">
        <w:rPr>
          <w:rFonts w:ascii="Arial" w:hAnsi="Arial" w:cs="Arial"/>
          <w:sz w:val="24"/>
          <w:szCs w:val="24"/>
        </w:rPr>
        <w:t>Competency AGP 2.1.9 Use leadership skills to respond, influence, and shape</w:t>
      </w:r>
    </w:p>
    <w:p w:rsidR="007414E1" w:rsidRPr="00D26678" w:rsidRDefault="007414E1" w:rsidP="007414E1">
      <w:pPr>
        <w:ind w:left="1440" w:firstLine="72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changing</w:t>
      </w:r>
      <w:proofErr w:type="gramEnd"/>
      <w:r w:rsidRPr="00D26678">
        <w:rPr>
          <w:rFonts w:ascii="Arial" w:hAnsi="Arial" w:cs="Arial"/>
          <w:sz w:val="24"/>
          <w:szCs w:val="24"/>
        </w:rPr>
        <w:t xml:space="preserve"> contexts</w:t>
      </w:r>
    </w:p>
    <w:p w:rsidR="007414E1" w:rsidRPr="00643308" w:rsidRDefault="007414E1" w:rsidP="007414E1">
      <w:pPr>
        <w:rPr>
          <w:rFonts w:ascii="Arial" w:hAnsi="Arial" w:cs="Arial"/>
          <w:b/>
          <w:sz w:val="24"/>
          <w:szCs w:val="24"/>
        </w:rPr>
      </w:pPr>
      <w:r w:rsidRPr="00643308">
        <w:rPr>
          <w:rFonts w:ascii="Arial" w:hAnsi="Arial" w:cs="Arial"/>
          <w:b/>
          <w:sz w:val="24"/>
          <w:szCs w:val="24"/>
        </w:rPr>
        <w:t>Competency AGP 2.1.10 Demonstrate autonomy in dynamic practice situations that involve:</w:t>
      </w:r>
    </w:p>
    <w:p w:rsidR="007414E1" w:rsidRPr="00D26678" w:rsidRDefault="007414E1" w:rsidP="007414E1">
      <w:pPr>
        <w:rPr>
          <w:rFonts w:ascii="Arial" w:hAnsi="Arial" w:cs="Arial"/>
          <w:sz w:val="24"/>
          <w:szCs w:val="24"/>
        </w:rPr>
      </w:pPr>
      <w:r w:rsidRPr="00D26678">
        <w:rPr>
          <w:rFonts w:ascii="Arial" w:hAnsi="Arial" w:cs="Arial"/>
          <w:sz w:val="24"/>
          <w:szCs w:val="24"/>
        </w:rPr>
        <w:tab/>
        <w:t>2.1.10.1 Relationship-building at all levels of systems</w:t>
      </w:r>
    </w:p>
    <w:p w:rsidR="007414E1" w:rsidRPr="00D26678" w:rsidRDefault="007414E1" w:rsidP="007414E1">
      <w:pPr>
        <w:rPr>
          <w:rFonts w:ascii="Arial" w:hAnsi="Arial" w:cs="Arial"/>
          <w:sz w:val="24"/>
          <w:szCs w:val="24"/>
        </w:rPr>
      </w:pPr>
      <w:r w:rsidRPr="00D26678">
        <w:rPr>
          <w:rFonts w:ascii="Arial" w:hAnsi="Arial" w:cs="Arial"/>
          <w:sz w:val="24"/>
          <w:szCs w:val="24"/>
        </w:rPr>
        <w:tab/>
        <w:t>2.1.10.2 Evidence-based assessment tools and intervention approaches</w:t>
      </w:r>
    </w:p>
    <w:p w:rsidR="007414E1" w:rsidRPr="00D26678" w:rsidRDefault="007414E1" w:rsidP="007414E1">
      <w:pPr>
        <w:rPr>
          <w:rFonts w:ascii="Arial" w:hAnsi="Arial" w:cs="Arial"/>
          <w:sz w:val="24"/>
          <w:szCs w:val="24"/>
        </w:rPr>
      </w:pPr>
      <w:r w:rsidRPr="00D26678">
        <w:rPr>
          <w:rFonts w:ascii="Arial" w:hAnsi="Arial" w:cs="Arial"/>
          <w:sz w:val="24"/>
          <w:szCs w:val="24"/>
        </w:rPr>
        <w:tab/>
        <w:t>2.1.10.3 Effective intervention with complex problems and prevention strategies</w:t>
      </w:r>
    </w:p>
    <w:p w:rsidR="007414E1" w:rsidRPr="00643308" w:rsidRDefault="007414E1" w:rsidP="007414E1">
      <w:pPr>
        <w:rPr>
          <w:rFonts w:ascii="Arial" w:hAnsi="Arial" w:cs="Arial"/>
          <w:b/>
          <w:sz w:val="24"/>
          <w:szCs w:val="24"/>
        </w:rPr>
      </w:pPr>
      <w:r w:rsidRPr="00643308">
        <w:rPr>
          <w:rFonts w:ascii="Arial" w:hAnsi="Arial" w:cs="Arial"/>
          <w:b/>
          <w:sz w:val="24"/>
          <w:szCs w:val="24"/>
        </w:rPr>
        <w:tab/>
        <w:t>2.1.10.4 Response to the feedback process from interventions</w:t>
      </w:r>
    </w:p>
    <w:p w:rsidR="00643308" w:rsidRDefault="00643308" w:rsidP="002C750C">
      <w:pPr>
        <w:rPr>
          <w:rFonts w:ascii="Arial" w:hAnsi="Arial" w:cs="Arial"/>
          <w:b/>
          <w:sz w:val="24"/>
          <w:szCs w:val="24"/>
        </w:rPr>
      </w:pPr>
    </w:p>
    <w:p w:rsidR="00643308" w:rsidRDefault="00851A28" w:rsidP="002C750C">
      <w:pPr>
        <w:rPr>
          <w:rFonts w:ascii="Arial" w:hAnsi="Arial" w:cs="Arial"/>
          <w:sz w:val="24"/>
          <w:szCs w:val="24"/>
        </w:rPr>
      </w:pPr>
      <w:r>
        <w:rPr>
          <w:rFonts w:ascii="Arial" w:hAnsi="Arial" w:cs="Arial"/>
          <w:sz w:val="24"/>
          <w:szCs w:val="24"/>
        </w:rPr>
        <w:lastRenderedPageBreak/>
        <w:t>Competency AGP 2.1.11 Become</w:t>
      </w:r>
      <w:r w:rsidR="00643308">
        <w:rPr>
          <w:rFonts w:ascii="Arial" w:hAnsi="Arial" w:cs="Arial"/>
          <w:sz w:val="24"/>
          <w:szCs w:val="24"/>
        </w:rPr>
        <w:t xml:space="preserve"> increasingly proactive in recommending constructive change in organizations and communities</w:t>
      </w:r>
    </w:p>
    <w:p w:rsidR="00643308" w:rsidRPr="00643308" w:rsidRDefault="00643308" w:rsidP="002C750C">
      <w:pPr>
        <w:rPr>
          <w:rFonts w:ascii="Arial" w:hAnsi="Arial" w:cs="Arial"/>
          <w:sz w:val="24"/>
          <w:szCs w:val="24"/>
        </w:rPr>
      </w:pPr>
      <w:r>
        <w:rPr>
          <w:rFonts w:ascii="Arial" w:hAnsi="Arial" w:cs="Arial"/>
          <w:sz w:val="24"/>
          <w:szCs w:val="24"/>
        </w:rPr>
        <w:t>Co</w:t>
      </w:r>
      <w:r w:rsidR="00851A28">
        <w:rPr>
          <w:rFonts w:ascii="Arial" w:hAnsi="Arial" w:cs="Arial"/>
          <w:sz w:val="24"/>
          <w:szCs w:val="24"/>
        </w:rPr>
        <w:t>mpetency AGP 2.1.12 Demonstrate</w:t>
      </w:r>
      <w:r>
        <w:rPr>
          <w:rFonts w:ascii="Arial" w:hAnsi="Arial" w:cs="Arial"/>
          <w:sz w:val="24"/>
          <w:szCs w:val="24"/>
        </w:rPr>
        <w:t xml:space="preserv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643308">
        <w:rPr>
          <w:rFonts w:ascii="Arial" w:hAnsi="Arial" w:cs="Arial"/>
          <w:sz w:val="24"/>
          <w:szCs w:val="24"/>
        </w:rPr>
        <w:t>Content and assessment in this course reflect the bolded competencies and the following practice behaviors:</w:t>
      </w:r>
    </w:p>
    <w:p w:rsidR="00643308" w:rsidRDefault="00643308" w:rsidP="002C750C">
      <w:pPr>
        <w:rPr>
          <w:rFonts w:ascii="Arial" w:hAnsi="Arial" w:cs="Arial"/>
          <w:sz w:val="24"/>
          <w:szCs w:val="24"/>
        </w:rPr>
      </w:pPr>
      <w:r>
        <w:rPr>
          <w:rFonts w:ascii="Arial" w:hAnsi="Arial" w:cs="Arial"/>
          <w:sz w:val="24"/>
          <w:szCs w:val="24"/>
        </w:rPr>
        <w:t>2.1.6</w:t>
      </w:r>
      <w:proofErr w:type="gramStart"/>
      <w:r>
        <w:rPr>
          <w:rFonts w:ascii="Arial" w:hAnsi="Arial" w:cs="Arial"/>
          <w:sz w:val="24"/>
          <w:szCs w:val="24"/>
        </w:rPr>
        <w:t>.a</w:t>
      </w:r>
      <w:proofErr w:type="gramEnd"/>
      <w:r>
        <w:rPr>
          <w:rFonts w:ascii="Arial" w:hAnsi="Arial" w:cs="Arial"/>
          <w:sz w:val="24"/>
          <w:szCs w:val="24"/>
        </w:rPr>
        <w:t xml:space="preserve"> Uses research and evaluation to assess intervention, efficacy, and effectiveness</w:t>
      </w:r>
    </w:p>
    <w:p w:rsidR="00643308" w:rsidRDefault="00643308" w:rsidP="002C750C">
      <w:pPr>
        <w:rPr>
          <w:rFonts w:ascii="Arial" w:hAnsi="Arial" w:cs="Arial"/>
          <w:sz w:val="24"/>
          <w:szCs w:val="24"/>
        </w:rPr>
      </w:pPr>
      <w:r>
        <w:rPr>
          <w:rFonts w:ascii="Arial" w:hAnsi="Arial" w:cs="Arial"/>
          <w:sz w:val="24"/>
          <w:szCs w:val="24"/>
        </w:rPr>
        <w:t>2.1.6</w:t>
      </w:r>
      <w:proofErr w:type="gramStart"/>
      <w:r>
        <w:rPr>
          <w:rFonts w:ascii="Arial" w:hAnsi="Arial" w:cs="Arial"/>
          <w:sz w:val="24"/>
          <w:szCs w:val="24"/>
        </w:rPr>
        <w:t>.b</w:t>
      </w:r>
      <w:proofErr w:type="gramEnd"/>
      <w:r>
        <w:rPr>
          <w:rFonts w:ascii="Arial" w:hAnsi="Arial" w:cs="Arial"/>
          <w:sz w:val="24"/>
          <w:szCs w:val="24"/>
        </w:rPr>
        <w:t xml:space="preserve"> Develops and shares data to enhance best practices and professional knowledge</w:t>
      </w:r>
    </w:p>
    <w:p w:rsidR="00643308" w:rsidRDefault="00643308" w:rsidP="002C750C">
      <w:pPr>
        <w:rPr>
          <w:rFonts w:ascii="Arial" w:hAnsi="Arial" w:cs="Arial"/>
          <w:sz w:val="24"/>
          <w:szCs w:val="24"/>
        </w:rPr>
      </w:pPr>
      <w:r>
        <w:rPr>
          <w:rFonts w:ascii="Arial" w:hAnsi="Arial" w:cs="Arial"/>
          <w:sz w:val="24"/>
          <w:szCs w:val="24"/>
        </w:rPr>
        <w:t>2.1.6</w:t>
      </w:r>
      <w:proofErr w:type="gramStart"/>
      <w:r>
        <w:rPr>
          <w:rFonts w:ascii="Arial" w:hAnsi="Arial" w:cs="Arial"/>
          <w:sz w:val="24"/>
          <w:szCs w:val="24"/>
        </w:rPr>
        <w:t>.c</w:t>
      </w:r>
      <w:proofErr w:type="gramEnd"/>
      <w:r>
        <w:rPr>
          <w:rFonts w:ascii="Arial" w:hAnsi="Arial" w:cs="Arial"/>
          <w:sz w:val="24"/>
          <w:szCs w:val="24"/>
        </w:rPr>
        <w:t xml:space="preserve"> Uses evidence-based research findings to improve practice</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P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5A0086" w:rsidRPr="005A0086" w:rsidRDefault="005A0086" w:rsidP="005A0086">
      <w:pPr>
        <w:widowControl w:val="0"/>
        <w:spacing w:after="0" w:line="360" w:lineRule="auto"/>
        <w:ind w:left="960" w:right="670" w:hanging="720"/>
        <w:contextualSpacing/>
        <w:rPr>
          <w:rFonts w:ascii="Arial" w:eastAsia="Times New Roman" w:hAnsi="Arial" w:cs="Arial"/>
          <w:sz w:val="24"/>
          <w:szCs w:val="24"/>
        </w:rPr>
      </w:pPr>
      <w:proofErr w:type="gramStart"/>
      <w:r w:rsidRPr="005A0086">
        <w:rPr>
          <w:rFonts w:ascii="Arial" w:eastAsiaTheme="minorHAnsi" w:hAnsi="Arial" w:cs="Arial"/>
          <w:sz w:val="24"/>
          <w:szCs w:val="24"/>
        </w:rPr>
        <w:t>American Psychological Association.</w:t>
      </w:r>
      <w:proofErr w:type="gramEnd"/>
      <w:r w:rsidRPr="005A0086">
        <w:rPr>
          <w:rFonts w:ascii="Arial" w:eastAsiaTheme="minorHAnsi" w:hAnsi="Arial" w:cs="Arial"/>
          <w:sz w:val="24"/>
          <w:szCs w:val="24"/>
        </w:rPr>
        <w:t xml:space="preserve"> (2001) </w:t>
      </w:r>
      <w:r w:rsidRPr="005A0086">
        <w:rPr>
          <w:rFonts w:ascii="Arial" w:eastAsiaTheme="minorHAnsi" w:hAnsi="Arial" w:cs="Arial"/>
          <w:i/>
          <w:sz w:val="24"/>
          <w:szCs w:val="24"/>
        </w:rPr>
        <w:t>Publication manual of the American</w:t>
      </w:r>
      <w:r w:rsidRPr="005A0086">
        <w:rPr>
          <w:rFonts w:ascii="Arial" w:eastAsiaTheme="minorHAnsi" w:hAnsi="Arial" w:cs="Arial"/>
          <w:i/>
          <w:spacing w:val="-26"/>
          <w:sz w:val="24"/>
          <w:szCs w:val="24"/>
        </w:rPr>
        <w:t xml:space="preserve"> </w:t>
      </w:r>
      <w:r w:rsidRPr="005A0086">
        <w:rPr>
          <w:rFonts w:ascii="Arial" w:eastAsiaTheme="minorHAnsi" w:hAnsi="Arial" w:cs="Arial"/>
          <w:i/>
          <w:sz w:val="24"/>
          <w:szCs w:val="24"/>
        </w:rPr>
        <w:t xml:space="preserve">Psychological Association </w:t>
      </w:r>
      <w:r w:rsidRPr="005A0086">
        <w:rPr>
          <w:rFonts w:ascii="Arial" w:eastAsiaTheme="minorHAnsi" w:hAnsi="Arial" w:cs="Arial"/>
          <w:sz w:val="24"/>
          <w:szCs w:val="24"/>
        </w:rPr>
        <w:t>(6</w:t>
      </w:r>
      <w:proofErr w:type="spellStart"/>
      <w:r w:rsidRPr="005A0086">
        <w:rPr>
          <w:rFonts w:ascii="Arial" w:eastAsiaTheme="minorHAnsi" w:hAnsi="Arial" w:cs="Arial"/>
          <w:position w:val="11"/>
          <w:sz w:val="24"/>
          <w:szCs w:val="24"/>
        </w:rPr>
        <w:t>th</w:t>
      </w:r>
      <w:proofErr w:type="spellEnd"/>
      <w:r w:rsidRPr="005A0086">
        <w:rPr>
          <w:rFonts w:ascii="Arial" w:eastAsiaTheme="minorHAnsi" w:hAnsi="Arial" w:cs="Arial"/>
          <w:position w:val="11"/>
          <w:sz w:val="24"/>
          <w:szCs w:val="24"/>
        </w:rPr>
        <w:t xml:space="preserve"> </w:t>
      </w:r>
      <w:proofErr w:type="gramStart"/>
      <w:r w:rsidRPr="005A0086">
        <w:rPr>
          <w:rFonts w:ascii="Arial" w:eastAsiaTheme="minorHAnsi" w:hAnsi="Arial" w:cs="Arial"/>
          <w:sz w:val="24"/>
          <w:szCs w:val="24"/>
        </w:rPr>
        <w:t>ed</w:t>
      </w:r>
      <w:proofErr w:type="gramEnd"/>
      <w:r w:rsidRPr="005A0086">
        <w:rPr>
          <w:rFonts w:ascii="Arial" w:eastAsiaTheme="minorHAnsi" w:hAnsi="Arial" w:cs="Arial"/>
          <w:sz w:val="24"/>
          <w:szCs w:val="24"/>
        </w:rPr>
        <w:t>.). Washington,</w:t>
      </w:r>
      <w:r w:rsidRPr="005A0086">
        <w:rPr>
          <w:rFonts w:ascii="Arial" w:eastAsiaTheme="minorHAnsi" w:hAnsi="Arial" w:cs="Arial"/>
          <w:spacing w:val="6"/>
          <w:sz w:val="24"/>
          <w:szCs w:val="24"/>
        </w:rPr>
        <w:t xml:space="preserve"> </w:t>
      </w:r>
      <w:r w:rsidRPr="005A0086">
        <w:rPr>
          <w:rFonts w:ascii="Arial" w:eastAsiaTheme="minorHAnsi" w:hAnsi="Arial" w:cs="Arial"/>
          <w:sz w:val="24"/>
          <w:szCs w:val="24"/>
        </w:rPr>
        <w:t>D.C.</w:t>
      </w:r>
    </w:p>
    <w:p w:rsidR="005A0086" w:rsidRPr="005A0086" w:rsidRDefault="005A0086" w:rsidP="005A0086">
      <w:pPr>
        <w:widowControl w:val="0"/>
        <w:spacing w:before="11" w:after="0" w:line="360" w:lineRule="auto"/>
        <w:ind w:hanging="720"/>
        <w:contextualSpacing/>
        <w:rPr>
          <w:rFonts w:ascii="Arial" w:eastAsia="Times New Roman" w:hAnsi="Arial" w:cs="Arial"/>
          <w:sz w:val="24"/>
          <w:szCs w:val="24"/>
        </w:rPr>
      </w:pPr>
    </w:p>
    <w:p w:rsidR="005A0086" w:rsidRPr="005A0086" w:rsidRDefault="005A0086" w:rsidP="005A0086">
      <w:pPr>
        <w:widowControl w:val="0"/>
        <w:spacing w:after="0" w:line="360" w:lineRule="auto"/>
        <w:ind w:left="965" w:right="677" w:hanging="720"/>
        <w:contextualSpacing/>
        <w:rPr>
          <w:rFonts w:ascii="Arial" w:eastAsia="Times New Roman" w:hAnsi="Arial" w:cs="Arial"/>
          <w:sz w:val="24"/>
          <w:szCs w:val="24"/>
        </w:rPr>
      </w:pPr>
      <w:proofErr w:type="spellStart"/>
      <w:proofErr w:type="gramStart"/>
      <w:r w:rsidRPr="005A0086">
        <w:rPr>
          <w:rFonts w:ascii="Arial" w:eastAsiaTheme="minorHAnsi" w:hAnsi="Arial" w:cs="Arial"/>
          <w:sz w:val="24"/>
          <w:szCs w:val="24"/>
        </w:rPr>
        <w:t>Kyrsik</w:t>
      </w:r>
      <w:proofErr w:type="spellEnd"/>
      <w:r w:rsidRPr="005A0086">
        <w:rPr>
          <w:rFonts w:ascii="Arial" w:eastAsiaTheme="minorHAnsi" w:hAnsi="Arial" w:cs="Arial"/>
          <w:sz w:val="24"/>
          <w:szCs w:val="24"/>
        </w:rPr>
        <w:t>, J.L. &amp; Finn, J. (2013).</w:t>
      </w:r>
      <w:proofErr w:type="gramEnd"/>
      <w:r w:rsidRPr="005A0086">
        <w:rPr>
          <w:rFonts w:ascii="Arial" w:eastAsiaTheme="minorHAnsi" w:hAnsi="Arial" w:cs="Arial"/>
          <w:sz w:val="24"/>
          <w:szCs w:val="24"/>
        </w:rPr>
        <w:t xml:space="preserve"> </w:t>
      </w:r>
      <w:proofErr w:type="gramStart"/>
      <w:r w:rsidRPr="005A0086">
        <w:rPr>
          <w:rFonts w:ascii="Arial" w:eastAsiaTheme="minorHAnsi" w:hAnsi="Arial" w:cs="Arial"/>
          <w:i/>
          <w:sz w:val="24"/>
          <w:szCs w:val="24"/>
        </w:rPr>
        <w:t>Research for effective social work practice</w:t>
      </w:r>
      <w:proofErr w:type="gramEnd"/>
      <w:r w:rsidRPr="005A0086">
        <w:rPr>
          <w:rFonts w:ascii="Arial" w:eastAsiaTheme="minorHAnsi" w:hAnsi="Arial" w:cs="Arial"/>
          <w:i/>
          <w:sz w:val="24"/>
          <w:szCs w:val="24"/>
        </w:rPr>
        <w:t xml:space="preserve"> </w:t>
      </w:r>
      <w:r w:rsidRPr="005A0086">
        <w:rPr>
          <w:rFonts w:ascii="Arial" w:eastAsiaTheme="minorHAnsi" w:hAnsi="Arial" w:cs="Arial"/>
          <w:sz w:val="24"/>
          <w:szCs w:val="24"/>
        </w:rPr>
        <w:t>(3</w:t>
      </w:r>
      <w:proofErr w:type="spellStart"/>
      <w:r w:rsidRPr="005A0086">
        <w:rPr>
          <w:rFonts w:ascii="Arial" w:eastAsiaTheme="minorHAnsi" w:hAnsi="Arial" w:cs="Arial"/>
          <w:position w:val="11"/>
          <w:sz w:val="24"/>
          <w:szCs w:val="24"/>
        </w:rPr>
        <w:t>rd</w:t>
      </w:r>
      <w:proofErr w:type="spellEnd"/>
      <w:r w:rsidRPr="005A0086">
        <w:rPr>
          <w:rFonts w:ascii="Arial" w:eastAsiaTheme="minorHAnsi" w:hAnsi="Arial" w:cs="Arial"/>
          <w:spacing w:val="-4"/>
          <w:position w:val="11"/>
          <w:sz w:val="24"/>
          <w:szCs w:val="24"/>
        </w:rPr>
        <w:t xml:space="preserve"> </w:t>
      </w:r>
      <w:proofErr w:type="spellStart"/>
      <w:r w:rsidRPr="005A0086">
        <w:rPr>
          <w:rFonts w:ascii="Arial" w:eastAsiaTheme="minorHAnsi" w:hAnsi="Arial" w:cs="Arial"/>
          <w:sz w:val="24"/>
          <w:szCs w:val="24"/>
        </w:rPr>
        <w:t>ed</w:t>
      </w:r>
      <w:proofErr w:type="spellEnd"/>
      <w:r w:rsidRPr="005A0086">
        <w:rPr>
          <w:rFonts w:ascii="Arial" w:eastAsiaTheme="minorHAnsi" w:hAnsi="Arial" w:cs="Arial"/>
          <w:sz w:val="24"/>
          <w:szCs w:val="24"/>
        </w:rPr>
        <w:t>).</w:t>
      </w:r>
      <w:r>
        <w:rPr>
          <w:rFonts w:ascii="Arial" w:eastAsiaTheme="minorHAnsi" w:hAnsi="Arial" w:cs="Arial"/>
          <w:sz w:val="24"/>
          <w:szCs w:val="24"/>
        </w:rPr>
        <w:t xml:space="preserve"> </w:t>
      </w:r>
      <w:r w:rsidRPr="005A0086">
        <w:rPr>
          <w:rFonts w:ascii="Arial" w:eastAsia="Times New Roman" w:hAnsi="Arial" w:cs="Arial"/>
          <w:sz w:val="24"/>
          <w:szCs w:val="24"/>
        </w:rPr>
        <w:t>New York, NY:</w:t>
      </w:r>
      <w:r w:rsidRPr="005A0086">
        <w:rPr>
          <w:rFonts w:ascii="Arial" w:eastAsia="Times New Roman" w:hAnsi="Arial" w:cs="Arial"/>
          <w:spacing w:val="-12"/>
          <w:sz w:val="24"/>
          <w:szCs w:val="24"/>
        </w:rPr>
        <w:t xml:space="preserve"> </w:t>
      </w:r>
      <w:r w:rsidRPr="005A0086">
        <w:rPr>
          <w:rFonts w:ascii="Arial" w:eastAsia="Times New Roman" w:hAnsi="Arial" w:cs="Arial"/>
          <w:sz w:val="24"/>
          <w:szCs w:val="24"/>
        </w:rPr>
        <w:t>Routledge.</w:t>
      </w:r>
    </w:p>
    <w:p w:rsidR="001B7422" w:rsidRP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5A0086" w:rsidRDefault="005A0086" w:rsidP="001B7422">
      <w:pPr>
        <w:jc w:val="center"/>
        <w:rPr>
          <w:rFonts w:ascii="Arial" w:hAnsi="Arial" w:cs="Arial"/>
          <w:b/>
          <w:sz w:val="24"/>
          <w:szCs w:val="24"/>
        </w:rPr>
      </w:pPr>
    </w:p>
    <w:p w:rsidR="005A0086" w:rsidRDefault="005A0086" w:rsidP="001B7422">
      <w:pPr>
        <w:jc w:val="center"/>
        <w:rPr>
          <w:rFonts w:ascii="Arial" w:hAnsi="Arial" w:cs="Arial"/>
          <w:b/>
          <w:sz w:val="24"/>
          <w:szCs w:val="24"/>
        </w:rPr>
      </w:pPr>
    </w:p>
    <w:p w:rsidR="005A0086" w:rsidRDefault="005A0086" w:rsidP="001B7422">
      <w:pPr>
        <w:jc w:val="center"/>
        <w:rPr>
          <w:rFonts w:ascii="Arial" w:hAnsi="Arial" w:cs="Arial"/>
          <w:b/>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lastRenderedPageBreak/>
        <w:t>Overview of Course Assignments</w:t>
      </w:r>
    </w:p>
    <w:p w:rsidR="005A0086" w:rsidRDefault="005A0086" w:rsidP="005A0086">
      <w:pPr>
        <w:rPr>
          <w:rFonts w:ascii="Arial" w:hAnsi="Arial" w:cs="Arial"/>
          <w:b/>
          <w:sz w:val="24"/>
          <w:szCs w:val="24"/>
        </w:rPr>
      </w:pPr>
      <w:r>
        <w:rPr>
          <w:rFonts w:ascii="Arial" w:hAnsi="Arial" w:cs="Arial"/>
          <w:b/>
          <w:sz w:val="24"/>
          <w:szCs w:val="24"/>
        </w:rPr>
        <w:t>Research Manuscript (250 pts = 75% of grade)</w:t>
      </w:r>
    </w:p>
    <w:p w:rsidR="005A0086" w:rsidRPr="00144C6C" w:rsidRDefault="005A0086" w:rsidP="005A0086">
      <w:pPr>
        <w:rPr>
          <w:rFonts w:ascii="Arial" w:hAnsi="Arial" w:cs="Arial"/>
          <w:i/>
          <w:sz w:val="24"/>
          <w:szCs w:val="24"/>
        </w:rPr>
      </w:pPr>
      <w:r>
        <w:rPr>
          <w:rFonts w:ascii="Arial" w:hAnsi="Arial" w:cs="Arial"/>
          <w:i/>
          <w:sz w:val="24"/>
          <w:szCs w:val="24"/>
        </w:rPr>
        <w:t xml:space="preserve">Students (individual or in groups) complete an approved research study and create a final manuscript suitable for publication. Outline for the Manuscript is located in Appendix A of course syllabus. </w:t>
      </w:r>
    </w:p>
    <w:p w:rsidR="005A0086" w:rsidRDefault="005A0086" w:rsidP="005A0086">
      <w:pPr>
        <w:rPr>
          <w:rFonts w:ascii="Arial" w:hAnsi="Arial" w:cs="Arial"/>
          <w:b/>
          <w:sz w:val="24"/>
          <w:szCs w:val="24"/>
        </w:rPr>
      </w:pPr>
      <w:r>
        <w:rPr>
          <w:rFonts w:ascii="Arial" w:hAnsi="Arial" w:cs="Arial"/>
          <w:b/>
          <w:sz w:val="24"/>
          <w:szCs w:val="24"/>
        </w:rPr>
        <w:t>Weekly Statistical Assignments (100 pts = 25% of grade)</w:t>
      </w:r>
    </w:p>
    <w:p w:rsidR="005A0086" w:rsidRPr="00144C6C" w:rsidRDefault="005A0086" w:rsidP="005A0086">
      <w:pPr>
        <w:rPr>
          <w:rFonts w:ascii="Arial" w:hAnsi="Arial" w:cs="Arial"/>
          <w:i/>
          <w:sz w:val="24"/>
          <w:szCs w:val="24"/>
        </w:rPr>
      </w:pPr>
      <w:r>
        <w:rPr>
          <w:rFonts w:ascii="Arial" w:hAnsi="Arial" w:cs="Arial"/>
          <w:i/>
          <w:sz w:val="24"/>
          <w:szCs w:val="24"/>
        </w:rPr>
        <w:t>Students will complete weekly statistical assignments (in class or as homework) designed to teach and reinforce basic statistical concepts related to both descriptive and inferential statistical analysis.</w:t>
      </w:r>
    </w:p>
    <w:p w:rsidR="005A0086" w:rsidRDefault="005A0086" w:rsidP="005A0086">
      <w:pPr>
        <w:rPr>
          <w:rFonts w:ascii="Arial" w:hAnsi="Arial" w:cs="Arial"/>
          <w:i/>
          <w:color w:val="C00000"/>
          <w:sz w:val="24"/>
          <w:szCs w:val="24"/>
        </w:rPr>
      </w:pPr>
      <w:r w:rsidRPr="00B03FBC">
        <w:rPr>
          <w:rFonts w:ascii="Arial" w:hAnsi="Arial" w:cs="Arial"/>
          <w:b/>
          <w:sz w:val="24"/>
          <w:szCs w:val="24"/>
        </w:rPr>
        <w:t>Grading Scale</w:t>
      </w:r>
      <w:r>
        <w:rPr>
          <w:rFonts w:ascii="Arial" w:hAnsi="Arial" w:cs="Arial"/>
          <w:b/>
          <w:sz w:val="24"/>
          <w:szCs w:val="24"/>
        </w:rPr>
        <w:t xml:space="preserve"> </w:t>
      </w:r>
    </w:p>
    <w:p w:rsidR="005A0086" w:rsidRPr="00144C6C" w:rsidRDefault="005A0086" w:rsidP="005A0086">
      <w:pPr>
        <w:rPr>
          <w:rFonts w:ascii="Arial" w:hAnsi="Arial" w:cs="Arial"/>
          <w:sz w:val="24"/>
          <w:szCs w:val="24"/>
        </w:rPr>
      </w:pPr>
      <w:r w:rsidRPr="00144C6C">
        <w:rPr>
          <w:rFonts w:ascii="Arial" w:hAnsi="Arial" w:cs="Arial"/>
          <w:sz w:val="24"/>
          <w:szCs w:val="24"/>
        </w:rPr>
        <w:t>90-100% = A</w:t>
      </w:r>
    </w:p>
    <w:p w:rsidR="005A0086" w:rsidRPr="00144C6C" w:rsidRDefault="005A0086" w:rsidP="005A0086">
      <w:pPr>
        <w:rPr>
          <w:rFonts w:ascii="Arial" w:hAnsi="Arial" w:cs="Arial"/>
          <w:sz w:val="24"/>
          <w:szCs w:val="24"/>
        </w:rPr>
      </w:pPr>
      <w:r w:rsidRPr="00144C6C">
        <w:rPr>
          <w:rFonts w:ascii="Arial" w:hAnsi="Arial" w:cs="Arial"/>
          <w:sz w:val="24"/>
          <w:szCs w:val="24"/>
        </w:rPr>
        <w:t>80% - 89% = B</w:t>
      </w:r>
    </w:p>
    <w:p w:rsidR="005A0086" w:rsidRPr="00144C6C" w:rsidRDefault="005A0086" w:rsidP="005A0086">
      <w:pPr>
        <w:rPr>
          <w:rFonts w:ascii="Arial" w:hAnsi="Arial" w:cs="Arial"/>
          <w:sz w:val="24"/>
          <w:szCs w:val="24"/>
        </w:rPr>
      </w:pPr>
      <w:r w:rsidRPr="00144C6C">
        <w:rPr>
          <w:rFonts w:ascii="Arial" w:hAnsi="Arial" w:cs="Arial"/>
          <w:sz w:val="24"/>
          <w:szCs w:val="24"/>
        </w:rPr>
        <w:t>70% - 79% = C</w:t>
      </w:r>
    </w:p>
    <w:p w:rsidR="005A0086" w:rsidRPr="00144C6C" w:rsidRDefault="005A0086" w:rsidP="005A0086">
      <w:pPr>
        <w:rPr>
          <w:rFonts w:ascii="Arial" w:hAnsi="Arial" w:cs="Arial"/>
          <w:sz w:val="24"/>
          <w:szCs w:val="24"/>
        </w:rPr>
      </w:pPr>
      <w:r w:rsidRPr="00144C6C">
        <w:rPr>
          <w:rFonts w:ascii="Arial" w:hAnsi="Arial" w:cs="Arial"/>
          <w:sz w:val="24"/>
          <w:szCs w:val="24"/>
        </w:rPr>
        <w:t>60% - 69% = D</w:t>
      </w:r>
    </w:p>
    <w:p w:rsidR="005A0086" w:rsidRDefault="005A0086" w:rsidP="005A0086">
      <w:pPr>
        <w:rPr>
          <w:rFonts w:ascii="Arial" w:hAnsi="Arial" w:cs="Arial"/>
          <w:sz w:val="24"/>
          <w:szCs w:val="24"/>
        </w:rPr>
      </w:pPr>
      <w:r w:rsidRPr="00144C6C">
        <w:rPr>
          <w:rFonts w:ascii="Arial" w:hAnsi="Arial" w:cs="Arial"/>
          <w:sz w:val="24"/>
          <w:szCs w:val="24"/>
        </w:rPr>
        <w:t>Below 60% = F</w:t>
      </w:r>
    </w:p>
    <w:p w:rsidR="005A0086" w:rsidRDefault="005A0086"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w:t>
      </w:r>
      <w:r>
        <w:rPr>
          <w:rFonts w:ascii="Arial" w:hAnsi="Arial" w:cs="Arial"/>
          <w:sz w:val="24"/>
          <w:szCs w:val="24"/>
        </w:rPr>
        <w:lastRenderedPageBreak/>
        <w:t xml:space="preserve">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5F4ED5"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lastRenderedPageBreak/>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5A0086" w:rsidRDefault="005A0086" w:rsidP="008B7E00">
            <w:pPr>
              <w:spacing w:line="360" w:lineRule="auto"/>
              <w:contextualSpacing/>
              <w:jc w:val="center"/>
              <w:rPr>
                <w:rFonts w:ascii="Arial" w:hAnsi="Arial" w:cs="Arial"/>
                <w:b/>
                <w:sz w:val="24"/>
                <w:szCs w:val="24"/>
              </w:rPr>
            </w:pPr>
          </w:p>
          <w:p w:rsidR="005A0086" w:rsidRDefault="005A0086" w:rsidP="008B7E00">
            <w:pPr>
              <w:spacing w:line="360" w:lineRule="auto"/>
              <w:contextualSpacing/>
              <w:jc w:val="center"/>
              <w:rPr>
                <w:rFonts w:ascii="Arial" w:hAnsi="Arial" w:cs="Arial"/>
                <w:b/>
                <w:sz w:val="24"/>
                <w:szCs w:val="24"/>
              </w:rPr>
            </w:pPr>
          </w:p>
          <w:p w:rsidR="005A0086" w:rsidRDefault="005A0086" w:rsidP="008B7E00">
            <w:pPr>
              <w:spacing w:line="360" w:lineRule="auto"/>
              <w:contextualSpacing/>
              <w:jc w:val="center"/>
              <w:rPr>
                <w:rFonts w:ascii="Arial" w:hAnsi="Arial" w:cs="Arial"/>
                <w:b/>
                <w:sz w:val="24"/>
                <w:szCs w:val="24"/>
              </w:rPr>
            </w:pPr>
          </w:p>
          <w:p w:rsidR="005A0086" w:rsidRDefault="005A0086" w:rsidP="008B7E00">
            <w:pPr>
              <w:spacing w:line="360" w:lineRule="auto"/>
              <w:contextualSpacing/>
              <w:jc w:val="center"/>
              <w:rPr>
                <w:rFonts w:ascii="Arial" w:hAnsi="Arial" w:cs="Arial"/>
                <w:b/>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lastRenderedPageBreak/>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Approved statement for inclusion in university publications (i.e. Syllabi, Faculty Handbook, Undergraduate and Graduate Catalog, Student Guidebook …)</w:t>
            </w:r>
          </w:p>
          <w:p w:rsidR="00851A28" w:rsidRDefault="00851A28" w:rsidP="002C0FD5">
            <w:pPr>
              <w:spacing w:line="360" w:lineRule="auto"/>
              <w:jc w:val="center"/>
              <w:rPr>
                <w:rFonts w:ascii="Arial" w:hAnsi="Arial" w:cs="Arial"/>
                <w:b/>
                <w:sz w:val="24"/>
                <w:szCs w:val="24"/>
              </w:rPr>
            </w:pPr>
          </w:p>
          <w:p w:rsidR="002C0FD5" w:rsidRPr="005A0086" w:rsidRDefault="002C0FD5" w:rsidP="002C0FD5">
            <w:pPr>
              <w:spacing w:line="360" w:lineRule="auto"/>
              <w:jc w:val="center"/>
              <w:rPr>
                <w:rFonts w:ascii="Arial" w:hAnsi="Arial" w:cs="Arial"/>
                <w:b/>
                <w:sz w:val="24"/>
                <w:szCs w:val="24"/>
              </w:rPr>
            </w:pPr>
            <w:r w:rsidRPr="005A0086">
              <w:rPr>
                <w:rFonts w:ascii="Arial" w:hAnsi="Arial" w:cs="Arial"/>
                <w:b/>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lastRenderedPageBreak/>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lastRenderedPageBreak/>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851A28" w:rsidRPr="00803F6A" w:rsidRDefault="00851A28" w:rsidP="00851A28">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851A28" w:rsidRPr="00803F6A" w:rsidRDefault="00851A28" w:rsidP="00851A28">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851A28" w:rsidRPr="00803F6A" w:rsidRDefault="00851A28" w:rsidP="00851A2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851A28" w:rsidRPr="00803F6A" w:rsidRDefault="00851A28" w:rsidP="00851A2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851A28" w:rsidRPr="00803F6A" w:rsidRDefault="00851A28" w:rsidP="00851A2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851A28" w:rsidRPr="00803F6A" w:rsidRDefault="00851A28" w:rsidP="00851A2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851A28" w:rsidRPr="00803F6A" w:rsidRDefault="00851A28" w:rsidP="00851A28">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851A28" w:rsidRPr="00803F6A" w:rsidRDefault="00851A28" w:rsidP="00851A28">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851A28" w:rsidRPr="00803F6A" w:rsidRDefault="00851A28" w:rsidP="00851A28">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851A28" w:rsidRPr="00803F6A" w:rsidRDefault="00851A28" w:rsidP="00851A28">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851A28"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851A2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51A2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851A2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51A2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851A2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851A28" w:rsidRPr="00803F6A" w:rsidRDefault="00851A28" w:rsidP="00851A28">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851A28"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851A28"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851A28"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version). For example, as of </w:t>
                  </w:r>
                  <w:r w:rsidRPr="00803F6A">
                    <w:rPr>
                      <w:rFonts w:ascii="Arial" w:eastAsia="Times New Roman" w:hAnsi="Arial" w:cs="Arial"/>
                      <w:color w:val="0D0D0D"/>
                      <w:sz w:val="24"/>
                      <w:szCs w:val="24"/>
                    </w:rPr>
                    <w:lastRenderedPageBreak/>
                    <w:t>June 7, 2017, D2Lsupports iOS 10.3.2 and iOS 9.3.5, but not iOS 10.2.1, 9.0.2, or any other version.</w:t>
                  </w:r>
                </w:p>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851A28"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851A28" w:rsidRPr="00803F6A" w:rsidRDefault="00851A2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851A28" w:rsidRPr="00803F6A" w:rsidRDefault="00851A28" w:rsidP="00851A28">
            <w:pPr>
              <w:autoSpaceDE w:val="0"/>
              <w:autoSpaceDN w:val="0"/>
              <w:adjustRightInd w:val="0"/>
              <w:spacing w:line="360" w:lineRule="auto"/>
              <w:ind w:left="360"/>
              <w:rPr>
                <w:rFonts w:ascii="Arial" w:eastAsia="Times New Roman" w:hAnsi="Arial" w:cs="Arial"/>
                <w:color w:val="000000"/>
                <w:sz w:val="24"/>
                <w:szCs w:val="24"/>
              </w:rPr>
            </w:pPr>
          </w:p>
          <w:p w:rsidR="00851A28" w:rsidRPr="00803F6A" w:rsidRDefault="00851A28" w:rsidP="00851A28">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851A28" w:rsidRPr="00803F6A" w:rsidRDefault="00851A28" w:rsidP="00851A28">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851A28" w:rsidRPr="00803F6A" w:rsidRDefault="00851A28" w:rsidP="00851A28">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851A28" w:rsidRPr="00803F6A" w:rsidRDefault="00851A28" w:rsidP="00851A28">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851A28" w:rsidRPr="00803F6A" w:rsidRDefault="00851A28" w:rsidP="00851A28">
            <w:pPr>
              <w:autoSpaceDE w:val="0"/>
              <w:autoSpaceDN w:val="0"/>
              <w:adjustRightInd w:val="0"/>
              <w:spacing w:line="360" w:lineRule="auto"/>
              <w:ind w:left="1440"/>
              <w:rPr>
                <w:rFonts w:ascii="Arial" w:eastAsia="Times New Roman" w:hAnsi="Arial" w:cs="Arial"/>
                <w:color w:val="000000"/>
                <w:sz w:val="24"/>
                <w:szCs w:val="24"/>
              </w:rPr>
            </w:pPr>
          </w:p>
          <w:p w:rsidR="00851A28" w:rsidRPr="00803F6A" w:rsidRDefault="00851A28" w:rsidP="00851A28">
            <w:pPr>
              <w:numPr>
                <w:ilvl w:val="0"/>
                <w:numId w:val="10"/>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851A28" w:rsidRPr="00803F6A" w:rsidRDefault="00851A28" w:rsidP="00851A28">
            <w:pPr>
              <w:spacing w:line="360" w:lineRule="auto"/>
              <w:ind w:left="360"/>
              <w:contextualSpacing/>
              <w:rPr>
                <w:rFonts w:ascii="Arial" w:eastAsia="Times New Roman" w:hAnsi="Arial" w:cs="Arial"/>
                <w:b/>
                <w:bCs/>
                <w:sz w:val="24"/>
                <w:szCs w:val="24"/>
              </w:rPr>
            </w:pPr>
          </w:p>
          <w:p w:rsidR="00851A28" w:rsidRPr="00803F6A" w:rsidRDefault="00851A28" w:rsidP="00851A28">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851A28" w:rsidRPr="00803F6A" w:rsidRDefault="00851A28" w:rsidP="00851A28">
            <w:pPr>
              <w:autoSpaceDE w:val="0"/>
              <w:autoSpaceDN w:val="0"/>
              <w:adjustRightInd w:val="0"/>
              <w:spacing w:line="360" w:lineRule="auto"/>
              <w:ind w:left="1440"/>
              <w:rPr>
                <w:rFonts w:ascii="Arial" w:eastAsia="Times New Roman" w:hAnsi="Arial" w:cs="Arial"/>
                <w:color w:val="000000"/>
                <w:sz w:val="24"/>
                <w:szCs w:val="24"/>
              </w:rPr>
            </w:pPr>
          </w:p>
          <w:p w:rsidR="00851A28" w:rsidRPr="00803F6A" w:rsidRDefault="00851A28" w:rsidP="00851A28">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851A28" w:rsidRPr="00803F6A" w:rsidRDefault="00851A28" w:rsidP="00851A28">
            <w:pPr>
              <w:autoSpaceDE w:val="0"/>
              <w:autoSpaceDN w:val="0"/>
              <w:adjustRightInd w:val="0"/>
              <w:spacing w:line="360" w:lineRule="auto"/>
              <w:ind w:left="360"/>
              <w:rPr>
                <w:rFonts w:ascii="Arial" w:eastAsia="Times New Roman" w:hAnsi="Arial" w:cs="Arial"/>
                <w:color w:val="000000"/>
                <w:sz w:val="24"/>
                <w:szCs w:val="24"/>
              </w:rPr>
            </w:pPr>
          </w:p>
          <w:p w:rsidR="00851A28" w:rsidRPr="00803F6A" w:rsidRDefault="00851A28" w:rsidP="00851A28">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p>
          <w:p w:rsidR="00851A28" w:rsidRPr="00803F6A" w:rsidRDefault="00851A28" w:rsidP="00851A28">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851A28" w:rsidRPr="00803F6A" w:rsidRDefault="00851A28" w:rsidP="00851A28">
            <w:pPr>
              <w:numPr>
                <w:ilvl w:val="1"/>
                <w:numId w:val="10"/>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851A28" w:rsidRPr="00803F6A" w:rsidRDefault="00851A28" w:rsidP="00851A28">
            <w:pPr>
              <w:autoSpaceDE w:val="0"/>
              <w:autoSpaceDN w:val="0"/>
              <w:adjustRightInd w:val="0"/>
              <w:spacing w:line="360" w:lineRule="auto"/>
              <w:ind w:left="1440"/>
              <w:rPr>
                <w:rFonts w:ascii="Arial" w:eastAsia="Times New Roman" w:hAnsi="Arial" w:cs="Arial"/>
                <w:color w:val="000000"/>
                <w:sz w:val="24"/>
                <w:szCs w:val="24"/>
              </w:rPr>
            </w:pPr>
          </w:p>
          <w:p w:rsidR="00851A28" w:rsidRPr="00803F6A" w:rsidRDefault="00851A28" w:rsidP="00851A28">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851A28" w:rsidRPr="00803F6A" w:rsidRDefault="00851A28" w:rsidP="00851A28">
            <w:pPr>
              <w:autoSpaceDE w:val="0"/>
              <w:autoSpaceDN w:val="0"/>
              <w:adjustRightInd w:val="0"/>
              <w:spacing w:line="360" w:lineRule="auto"/>
              <w:ind w:left="360"/>
              <w:rPr>
                <w:rFonts w:ascii="Arial" w:eastAsia="Times New Roman" w:hAnsi="Arial" w:cs="Arial"/>
                <w:color w:val="000000"/>
                <w:sz w:val="24"/>
                <w:szCs w:val="24"/>
              </w:rPr>
            </w:pPr>
          </w:p>
          <w:p w:rsidR="00851A28" w:rsidRPr="00803F6A" w:rsidRDefault="00851A28" w:rsidP="00851A28">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851A28" w:rsidRPr="00803F6A" w:rsidRDefault="00851A28" w:rsidP="00851A28">
            <w:pPr>
              <w:spacing w:line="360" w:lineRule="auto"/>
              <w:rPr>
                <w:rFonts w:ascii="Arial" w:eastAsia="Times New Roman" w:hAnsi="Arial" w:cs="Arial"/>
                <w:sz w:val="24"/>
                <w:szCs w:val="24"/>
              </w:rPr>
            </w:pPr>
          </w:p>
          <w:p w:rsidR="00851A28" w:rsidRPr="00803F6A" w:rsidRDefault="00851A28" w:rsidP="00851A28">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 xml:space="preserve">You will need your campus-wide ID (CWID) and password to log into the course. If you do not know your CWID or have forgotten your password, contact the Center for IT </w:t>
            </w:r>
            <w:r w:rsidRPr="00803F6A">
              <w:rPr>
                <w:rFonts w:ascii="Arial" w:eastAsia="Times New Roman" w:hAnsi="Arial" w:cs="Arial"/>
                <w:iCs/>
                <w:color w:val="000000"/>
                <w:sz w:val="24"/>
                <w:szCs w:val="24"/>
              </w:rPr>
              <w:lastRenderedPageBreak/>
              <w:t>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851A28" w:rsidRPr="00803F6A" w:rsidRDefault="00851A28" w:rsidP="00851A28">
            <w:pPr>
              <w:autoSpaceDE w:val="0"/>
              <w:autoSpaceDN w:val="0"/>
              <w:adjustRightInd w:val="0"/>
              <w:spacing w:line="360" w:lineRule="auto"/>
              <w:rPr>
                <w:rFonts w:ascii="Arial" w:eastAsia="Times New Roman" w:hAnsi="Arial" w:cs="Arial"/>
                <w:b/>
                <w:color w:val="000000"/>
                <w:sz w:val="24"/>
                <w:szCs w:val="24"/>
              </w:rPr>
            </w:pP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851A28" w:rsidRPr="00803F6A" w:rsidRDefault="00851A28" w:rsidP="00851A28">
            <w:pPr>
              <w:autoSpaceDE w:val="0"/>
              <w:autoSpaceDN w:val="0"/>
              <w:adjustRightInd w:val="0"/>
              <w:spacing w:line="360" w:lineRule="auto"/>
              <w:rPr>
                <w:rFonts w:ascii="Arial" w:eastAsia="Times New Roman" w:hAnsi="Arial" w:cs="Arial"/>
                <w:color w:val="000000"/>
                <w:sz w:val="24"/>
                <w:szCs w:val="24"/>
              </w:rPr>
            </w:pPr>
          </w:p>
          <w:p w:rsidR="00851A28" w:rsidRPr="00803F6A" w:rsidRDefault="00851A28" w:rsidP="00851A28">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851A28" w:rsidRPr="00803F6A" w:rsidRDefault="00851A28" w:rsidP="00851A28">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851A28" w:rsidRPr="00803F6A" w:rsidRDefault="00851A28" w:rsidP="00851A28">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851A28" w:rsidRPr="00803F6A" w:rsidRDefault="00851A28" w:rsidP="00851A28">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851A28" w:rsidRPr="00803F6A" w:rsidRDefault="00851A28" w:rsidP="00851A28">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851A28" w:rsidRPr="00803F6A" w:rsidRDefault="00851A28" w:rsidP="00851A28">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851A28" w:rsidRPr="00803F6A" w:rsidRDefault="00851A28" w:rsidP="00851A28">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546CC79F" wp14:editId="6C33009E">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851A28" w:rsidRPr="00803F6A" w:rsidRDefault="00851A28" w:rsidP="00851A28">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761A66" w:rsidRPr="00851A28" w:rsidRDefault="00851A28" w:rsidP="00851A28">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650F48">
            <w:pPr>
              <w:spacing w:line="360" w:lineRule="auto"/>
              <w:contextualSpacing/>
              <w:rPr>
                <w:rFonts w:ascii="Arial" w:hAnsi="Arial" w:cs="Arial"/>
                <w:b/>
                <w:sz w:val="24"/>
                <w:szCs w:val="24"/>
              </w:rPr>
            </w:pPr>
          </w:p>
        </w:tc>
      </w:tr>
    </w:tbl>
    <w:p w:rsidR="002C750C" w:rsidRPr="002C750C" w:rsidRDefault="002C750C" w:rsidP="00851A28">
      <w:pPr>
        <w:rPr>
          <w:rFonts w:ascii="Arial" w:hAnsi="Arial" w:cs="Arial"/>
          <w:sz w:val="24"/>
          <w:szCs w:val="24"/>
        </w:rPr>
      </w:pPr>
    </w:p>
    <w:sectPr w:rsidR="002C750C" w:rsidRPr="002C750C" w:rsidSect="0099486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D5" w:rsidRDefault="005F4ED5" w:rsidP="00851032">
      <w:pPr>
        <w:spacing w:after="0" w:line="240" w:lineRule="auto"/>
      </w:pPr>
      <w:r>
        <w:separator/>
      </w:r>
    </w:p>
  </w:endnote>
  <w:endnote w:type="continuationSeparator" w:id="0">
    <w:p w:rsidR="005F4ED5" w:rsidRDefault="005F4ED5"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28" w:rsidRDefault="00851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851A28">
      <w:t xml:space="preserve">AGP Syllabus </w:t>
    </w:r>
    <w:r w:rsidR="00851A28">
      <w:t>2018-19</w:t>
    </w:r>
    <w:bookmarkStart w:id="0" w:name="_GoBack"/>
    <w:bookmarkEnd w:id="0"/>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A28">
          <w:rPr>
            <w:noProof/>
          </w:rPr>
          <w:t>14</w:t>
        </w:r>
        <w:r>
          <w:rPr>
            <w:noProof/>
          </w:rPr>
          <w:fldChar w:fldCharType="end"/>
        </w:r>
      </w:sdtContent>
    </w:sdt>
  </w:p>
  <w:p w:rsidR="00851032" w:rsidRDefault="00851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28" w:rsidRDefault="00851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D5" w:rsidRDefault="005F4ED5" w:rsidP="00851032">
      <w:pPr>
        <w:spacing w:after="0" w:line="240" w:lineRule="auto"/>
      </w:pPr>
      <w:r>
        <w:separator/>
      </w:r>
    </w:p>
  </w:footnote>
  <w:footnote w:type="continuationSeparator" w:id="0">
    <w:p w:rsidR="005F4ED5" w:rsidRDefault="005F4ED5"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74D7F2D"/>
    <w:multiLevelType w:val="hybridMultilevel"/>
    <w:tmpl w:val="5C6E4796"/>
    <w:lvl w:ilvl="0" w:tplc="6EF41D2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F0A5F"/>
    <w:multiLevelType w:val="hybridMultilevel"/>
    <w:tmpl w:val="3D52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0"/>
  </w:num>
  <w:num w:numId="6">
    <w:abstractNumId w:val="3"/>
  </w:num>
  <w:num w:numId="7">
    <w:abstractNumId w:val="1"/>
  </w:num>
  <w:num w:numId="8">
    <w:abstractNumId w:val="9"/>
  </w:num>
  <w:num w:numId="9">
    <w:abstractNumId w:val="0"/>
  </w:num>
  <w:num w:numId="10">
    <w:abstractNumId w:val="2"/>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64D05"/>
    <w:rsid w:val="000A4A10"/>
    <w:rsid w:val="000C4C0B"/>
    <w:rsid w:val="000D1973"/>
    <w:rsid w:val="000D6831"/>
    <w:rsid w:val="00101FD4"/>
    <w:rsid w:val="00105C25"/>
    <w:rsid w:val="001368BE"/>
    <w:rsid w:val="001B7422"/>
    <w:rsid w:val="001D6107"/>
    <w:rsid w:val="00246588"/>
    <w:rsid w:val="00266799"/>
    <w:rsid w:val="00295CF2"/>
    <w:rsid w:val="002C0FD5"/>
    <w:rsid w:val="002C4E67"/>
    <w:rsid w:val="002C750C"/>
    <w:rsid w:val="002F3A9D"/>
    <w:rsid w:val="003423D9"/>
    <w:rsid w:val="00382702"/>
    <w:rsid w:val="003A4C07"/>
    <w:rsid w:val="004379E5"/>
    <w:rsid w:val="004707A2"/>
    <w:rsid w:val="004D6346"/>
    <w:rsid w:val="004E6D02"/>
    <w:rsid w:val="0053314B"/>
    <w:rsid w:val="00581E7F"/>
    <w:rsid w:val="005828A3"/>
    <w:rsid w:val="005A0086"/>
    <w:rsid w:val="005F4ED5"/>
    <w:rsid w:val="00611F85"/>
    <w:rsid w:val="006163B5"/>
    <w:rsid w:val="00626DBE"/>
    <w:rsid w:val="00630912"/>
    <w:rsid w:val="00643308"/>
    <w:rsid w:val="00650F48"/>
    <w:rsid w:val="007414E1"/>
    <w:rsid w:val="00761A66"/>
    <w:rsid w:val="00762520"/>
    <w:rsid w:val="00790E5A"/>
    <w:rsid w:val="00794F4C"/>
    <w:rsid w:val="007D6C1B"/>
    <w:rsid w:val="00816B85"/>
    <w:rsid w:val="00821E24"/>
    <w:rsid w:val="0083528F"/>
    <w:rsid w:val="00851032"/>
    <w:rsid w:val="00851A28"/>
    <w:rsid w:val="00873258"/>
    <w:rsid w:val="00877373"/>
    <w:rsid w:val="00894018"/>
    <w:rsid w:val="008A4324"/>
    <w:rsid w:val="008A43A3"/>
    <w:rsid w:val="008B7E00"/>
    <w:rsid w:val="0092146E"/>
    <w:rsid w:val="009228C9"/>
    <w:rsid w:val="00994865"/>
    <w:rsid w:val="009C07D2"/>
    <w:rsid w:val="009E2681"/>
    <w:rsid w:val="00A00E10"/>
    <w:rsid w:val="00AB2A6C"/>
    <w:rsid w:val="00B03FBC"/>
    <w:rsid w:val="00B73E6B"/>
    <w:rsid w:val="00B808F4"/>
    <w:rsid w:val="00B94AFD"/>
    <w:rsid w:val="00B97C0B"/>
    <w:rsid w:val="00BA272F"/>
    <w:rsid w:val="00BA6CD2"/>
    <w:rsid w:val="00C06AC3"/>
    <w:rsid w:val="00C3386B"/>
    <w:rsid w:val="00CF5133"/>
    <w:rsid w:val="00D96765"/>
    <w:rsid w:val="00DA04F2"/>
    <w:rsid w:val="00DC289E"/>
    <w:rsid w:val="00E1113E"/>
    <w:rsid w:val="00E134CC"/>
    <w:rsid w:val="00E41555"/>
    <w:rsid w:val="00E5535C"/>
    <w:rsid w:val="00EB7FDE"/>
    <w:rsid w:val="00EC2BF8"/>
    <w:rsid w:val="00EC5F7A"/>
    <w:rsid w:val="00ED31E1"/>
    <w:rsid w:val="00EE2464"/>
    <w:rsid w:val="00F41CD6"/>
    <w:rsid w:val="00F620CD"/>
    <w:rsid w:val="00F77155"/>
    <w:rsid w:val="00F8455C"/>
    <w:rsid w:val="00FD19C3"/>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5A00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5A0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header" Target="header2.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2018-08-02T16:14:00Z</dcterms:created>
  <dcterms:modified xsi:type="dcterms:W3CDTF">2018-08-02T16:22:00Z</dcterms:modified>
</cp:coreProperties>
</file>